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9F" w:rsidRPr="001A04F3" w:rsidRDefault="0032279F" w:rsidP="0032279F">
      <w:pPr>
        <w:snapToGrid w:val="0"/>
        <w:ind w:right="198"/>
        <w:jc w:val="center"/>
        <w:rPr>
          <w:b/>
          <w:sz w:val="36"/>
          <w:szCs w:val="28"/>
        </w:rPr>
      </w:pPr>
      <w:r w:rsidRPr="001A04F3">
        <w:rPr>
          <w:rFonts w:hint="eastAsia"/>
          <w:b/>
          <w:sz w:val="36"/>
          <w:szCs w:val="28"/>
        </w:rPr>
        <w:t>國立臺東大學</w:t>
      </w:r>
      <w:r>
        <w:rPr>
          <w:rFonts w:hint="eastAsia"/>
          <w:b/>
          <w:sz w:val="36"/>
          <w:szCs w:val="28"/>
        </w:rPr>
        <w:t xml:space="preserve"> 108</w:t>
      </w:r>
      <w:r w:rsidRPr="001A04F3">
        <w:rPr>
          <w:rFonts w:hint="eastAsia"/>
          <w:b/>
          <w:sz w:val="36"/>
          <w:szCs w:val="28"/>
        </w:rPr>
        <w:t xml:space="preserve"> 學年度 課程綱要</w:t>
      </w:r>
    </w:p>
    <w:p w:rsidR="0032279F" w:rsidRDefault="0032279F" w:rsidP="0032279F">
      <w:pPr>
        <w:snapToGrid w:val="0"/>
        <w:ind w:right="198"/>
        <w:jc w:val="center"/>
        <w:rPr>
          <w:b/>
          <w:sz w:val="36"/>
          <w:szCs w:val="28"/>
        </w:rPr>
      </w:pPr>
      <w:r w:rsidRPr="001A04F3">
        <w:rPr>
          <w:rFonts w:hint="eastAsia"/>
          <w:b/>
          <w:sz w:val="36"/>
          <w:szCs w:val="28"/>
        </w:rPr>
        <w:t>理工學院 應用科學系化學及奈米科學組</w:t>
      </w:r>
    </w:p>
    <w:p w:rsidR="0032279F" w:rsidRPr="001A04F3" w:rsidRDefault="0032279F" w:rsidP="0032279F">
      <w:pPr>
        <w:snapToGrid w:val="0"/>
        <w:ind w:right="198"/>
        <w:jc w:val="right"/>
        <w:rPr>
          <w:bCs/>
          <w:sz w:val="20"/>
          <w:szCs w:val="20"/>
        </w:rPr>
      </w:pPr>
      <w:r w:rsidRPr="001A04F3">
        <w:rPr>
          <w:rFonts w:hint="eastAsia"/>
          <w:bCs/>
          <w:sz w:val="20"/>
          <w:szCs w:val="20"/>
        </w:rPr>
        <w:t>107 學年度第2 學期第2 次系課程會議通過(1080516)</w:t>
      </w:r>
    </w:p>
    <w:p w:rsidR="0032279F" w:rsidRPr="001A04F3" w:rsidRDefault="0032279F" w:rsidP="0032279F">
      <w:pPr>
        <w:snapToGrid w:val="0"/>
        <w:ind w:right="198"/>
        <w:jc w:val="right"/>
        <w:rPr>
          <w:bCs/>
          <w:sz w:val="20"/>
          <w:szCs w:val="20"/>
        </w:rPr>
      </w:pPr>
      <w:r w:rsidRPr="001A04F3">
        <w:rPr>
          <w:rFonts w:hint="eastAsia"/>
          <w:bCs/>
          <w:sz w:val="20"/>
          <w:szCs w:val="20"/>
        </w:rPr>
        <w:t>107 學年度第2 學期第2 次院課程會議通過(1080523)</w:t>
      </w:r>
    </w:p>
    <w:p w:rsidR="0032279F" w:rsidRDefault="0032279F" w:rsidP="0032279F">
      <w:pPr>
        <w:snapToGrid w:val="0"/>
        <w:ind w:right="198"/>
        <w:jc w:val="right"/>
        <w:rPr>
          <w:bCs/>
          <w:sz w:val="20"/>
          <w:szCs w:val="20"/>
        </w:rPr>
      </w:pPr>
      <w:r w:rsidRPr="001A04F3">
        <w:rPr>
          <w:rFonts w:hint="eastAsia"/>
          <w:bCs/>
          <w:sz w:val="20"/>
          <w:szCs w:val="20"/>
        </w:rPr>
        <w:t>107 學年度第2 學期第2 次校課程會議通過(1080530)</w:t>
      </w:r>
    </w:p>
    <w:p w:rsidR="0032279F" w:rsidRPr="00B22B00" w:rsidRDefault="0032279F" w:rsidP="0032279F">
      <w:pPr>
        <w:ind w:right="200"/>
        <w:jc w:val="right"/>
        <w:rPr>
          <w:bCs/>
          <w:sz w:val="20"/>
          <w:szCs w:val="20"/>
        </w:rPr>
      </w:pPr>
    </w:p>
    <w:p w:rsidR="0032279F" w:rsidRDefault="0032279F" w:rsidP="0032279F">
      <w:pPr>
        <w:tabs>
          <w:tab w:val="left" w:pos="6490"/>
        </w:tabs>
        <w:spacing w:beforeLines="20" w:before="48" w:afterLines="20" w:after="48" w:line="360" w:lineRule="exact"/>
        <w:ind w:leftChars="-88" w:left="-211" w:firstLineChars="100" w:firstLine="2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 w:rsidRPr="00B22B00">
        <w:rPr>
          <w:b/>
          <w:bCs/>
          <w:sz w:val="28"/>
          <w:szCs w:val="28"/>
        </w:rPr>
        <w:t>目標</w:t>
      </w:r>
    </w:p>
    <w:p w:rsidR="0032279F" w:rsidRDefault="0032279F" w:rsidP="0032279F">
      <w:pPr>
        <w:autoSpaceDE w:val="0"/>
        <w:autoSpaceDN w:val="0"/>
        <w:adjustRightInd w:val="0"/>
        <w:rPr>
          <w:rFonts w:ascii="DFKaiShu-SB-Estd-BF" w:eastAsia="DFKaiShu-SB-Estd-BF" w:hAnsi="Calibri" w:cs="DFKaiShu-SB-Estd-BF"/>
          <w:kern w:val="0"/>
          <w:szCs w:val="24"/>
        </w:rPr>
      </w:pPr>
      <w:r>
        <w:rPr>
          <w:rFonts w:ascii="Calibri" w:hAnsi="Calibri" w:cs="Calibri"/>
          <w:kern w:val="0"/>
          <w:szCs w:val="24"/>
        </w:rPr>
        <w:t>(</w:t>
      </w:r>
      <w:r>
        <w:rPr>
          <w:rFonts w:ascii="DFKaiShu-SB-Estd-BF" w:eastAsia="DFKaiShu-SB-Estd-BF" w:hAnsi="Calibri" w:cs="DFKaiShu-SB-Estd-BF" w:hint="eastAsia"/>
          <w:kern w:val="0"/>
          <w:szCs w:val="24"/>
        </w:rPr>
        <w:t>一</w:t>
      </w:r>
      <w:r>
        <w:rPr>
          <w:rFonts w:ascii="Calibri" w:hAnsi="Calibri" w:cs="Calibri"/>
          <w:kern w:val="0"/>
          <w:szCs w:val="24"/>
        </w:rPr>
        <w:t>)</w:t>
      </w:r>
      <w:r>
        <w:rPr>
          <w:rFonts w:ascii="DFKaiShu-SB-Estd-BF" w:eastAsia="DFKaiShu-SB-Estd-BF" w:hAnsi="Calibri" w:cs="DFKaiShu-SB-Estd-BF" w:hint="eastAsia"/>
          <w:kern w:val="0"/>
          <w:szCs w:val="24"/>
        </w:rPr>
        <w:t>本系專門課程旨在培養學生具備豐富科學知識、科學探究能力及人文素養。</w:t>
      </w:r>
    </w:p>
    <w:p w:rsidR="0032279F" w:rsidRDefault="0032279F" w:rsidP="0032279F">
      <w:pPr>
        <w:autoSpaceDE w:val="0"/>
        <w:autoSpaceDN w:val="0"/>
        <w:adjustRightInd w:val="0"/>
        <w:rPr>
          <w:rFonts w:ascii="DFKaiShu-SB-Estd-BF" w:eastAsia="DFKaiShu-SB-Estd-BF" w:hAnsi="Calibri" w:cs="DFKaiShu-SB-Estd-BF"/>
          <w:kern w:val="0"/>
          <w:szCs w:val="24"/>
        </w:rPr>
      </w:pPr>
      <w:r>
        <w:rPr>
          <w:rFonts w:ascii="Calibri" w:hAnsi="Calibri" w:cs="Calibri"/>
          <w:kern w:val="0"/>
          <w:szCs w:val="24"/>
        </w:rPr>
        <w:t>(</w:t>
      </w:r>
      <w:r>
        <w:rPr>
          <w:rFonts w:ascii="DFKaiShu-SB-Estd-BF" w:eastAsia="DFKaiShu-SB-Estd-BF" w:hAnsi="Calibri" w:cs="DFKaiShu-SB-Estd-BF" w:hint="eastAsia"/>
          <w:kern w:val="0"/>
          <w:szCs w:val="24"/>
        </w:rPr>
        <w:t>二</w:t>
      </w:r>
      <w:r>
        <w:rPr>
          <w:rFonts w:ascii="Calibri" w:hAnsi="Calibri" w:cs="Calibri"/>
          <w:kern w:val="0"/>
          <w:szCs w:val="24"/>
        </w:rPr>
        <w:t>)</w:t>
      </w:r>
      <w:r>
        <w:rPr>
          <w:rFonts w:ascii="DFKaiShu-SB-Estd-BF" w:eastAsia="DFKaiShu-SB-Estd-BF" w:hAnsi="Calibri" w:cs="DFKaiShu-SB-Estd-BF" w:hint="eastAsia"/>
          <w:kern w:val="0"/>
          <w:szCs w:val="24"/>
        </w:rPr>
        <w:t>兼顧為進入高深研究之準備而規劃。</w:t>
      </w:r>
    </w:p>
    <w:p w:rsidR="0032279F" w:rsidRPr="007C49B0" w:rsidRDefault="0032279F" w:rsidP="0032279F">
      <w:pPr>
        <w:ind w:leftChars="-97" w:left="-233" w:firstLineChars="100" w:firstLine="240"/>
        <w:jc w:val="both"/>
        <w:rPr>
          <w:bCs/>
        </w:rPr>
      </w:pPr>
      <w:r>
        <w:rPr>
          <w:rFonts w:ascii="Calibri" w:hAnsi="Calibri" w:cs="Calibri"/>
          <w:kern w:val="0"/>
          <w:szCs w:val="24"/>
        </w:rPr>
        <w:t>(</w:t>
      </w:r>
      <w:r>
        <w:rPr>
          <w:rFonts w:ascii="DFKaiShu-SB-Estd-BF" w:eastAsia="DFKaiShu-SB-Estd-BF" w:hAnsi="Calibri" w:cs="DFKaiShu-SB-Estd-BF" w:hint="eastAsia"/>
          <w:kern w:val="0"/>
          <w:szCs w:val="24"/>
        </w:rPr>
        <w:t>三</w:t>
      </w:r>
      <w:r>
        <w:rPr>
          <w:rFonts w:ascii="Calibri" w:hAnsi="Calibri" w:cs="Calibri"/>
          <w:kern w:val="0"/>
          <w:szCs w:val="24"/>
        </w:rPr>
        <w:t>)</w:t>
      </w:r>
      <w:r>
        <w:rPr>
          <w:rFonts w:ascii="DFKaiShu-SB-Estd-BF" w:eastAsia="DFKaiShu-SB-Estd-BF" w:hAnsi="Calibri" w:cs="DFKaiShu-SB-Estd-BF" w:hint="eastAsia"/>
          <w:kern w:val="0"/>
          <w:szCs w:val="24"/>
        </w:rPr>
        <w:t>提供學生彈性學習機會，以塑造學生多元的能力，完成全人教育的目標</w:t>
      </w:r>
      <w:r w:rsidRPr="007C49B0">
        <w:rPr>
          <w:rFonts w:hint="eastAsia"/>
          <w:bCs/>
        </w:rPr>
        <w:t>。</w:t>
      </w:r>
    </w:p>
    <w:p w:rsidR="0032279F" w:rsidRDefault="0032279F" w:rsidP="0032279F">
      <w:pPr>
        <w:spacing w:beforeLines="50" w:before="120"/>
        <w:ind w:leftChars="-97" w:left="-233" w:firstLineChars="100" w:firstLine="280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 w:rsidRPr="00B22B00">
        <w:rPr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32279F" w:rsidRPr="00B22B00" w:rsidTr="00F71EC7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761370" w:rsidRDefault="0032279F" w:rsidP="00F71EC7">
            <w:pPr>
              <w:spacing w:line="320" w:lineRule="exact"/>
              <w:ind w:firstLineChars="700" w:firstLine="1822"/>
              <w:rPr>
                <w:b/>
                <w:bCs/>
                <w:sz w:val="26"/>
                <w:szCs w:val="26"/>
              </w:rPr>
            </w:pPr>
            <w:r w:rsidRPr="00761370">
              <w:rPr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761370" w:rsidRDefault="0032279F" w:rsidP="00F71EC7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761370">
              <w:rPr>
                <w:b/>
                <w:bCs/>
                <w:sz w:val="26"/>
                <w:szCs w:val="26"/>
              </w:rPr>
              <w:t>學分數合計</w:t>
            </w:r>
          </w:p>
        </w:tc>
      </w:tr>
      <w:tr w:rsidR="0032279F" w:rsidRPr="00B22B00" w:rsidTr="00F71EC7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both"/>
              <w:rPr>
                <w:bCs/>
              </w:rPr>
            </w:pPr>
            <w:r w:rsidRPr="00DF6A7F">
              <w:rPr>
                <w:rFonts w:hint="eastAsia"/>
                <w:bCs/>
                <w:color w:val="FF0000"/>
              </w:rPr>
              <w:t>詳見通識教育中心課程綱要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28學分</w:t>
            </w:r>
          </w:p>
        </w:tc>
      </w:tr>
      <w:tr w:rsidR="0032279F" w:rsidRPr="00B22B00" w:rsidTr="00F71EC7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  <w:r>
              <w:rPr>
                <w:bCs/>
              </w:rPr>
              <w:t>院共同</w:t>
            </w:r>
            <w:r w:rsidRPr="00B22B00">
              <w:rPr>
                <w:bCs/>
              </w:rPr>
              <w:t>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both"/>
              <w:rPr>
                <w:bCs/>
                <w:color w:val="000000" w:themeColor="text1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程式設計、微積分</w:t>
            </w:r>
            <w:r>
              <w:rPr>
                <w:rFonts w:ascii="Times New Roman" w:eastAsia="DFKaiShu-SB-Estd-BF" w:hAnsi="Times New Roman" w:cs="Times New Roman"/>
                <w:kern w:val="0"/>
                <w:szCs w:val="24"/>
              </w:rPr>
              <w:t>(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一</w:t>
            </w:r>
            <w:r>
              <w:rPr>
                <w:rFonts w:ascii="Times New Roman" w:eastAsia="DFKaiShu-SB-Estd-BF" w:hAnsi="Times New Roman" w:cs="Times New Roman"/>
                <w:kern w:val="0"/>
                <w:szCs w:val="24"/>
              </w:rPr>
              <w:t>)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、微積分</w:t>
            </w:r>
            <w:r>
              <w:rPr>
                <w:rFonts w:ascii="Times New Roman" w:eastAsia="DFKaiShu-SB-Estd-BF" w:hAnsi="Times New Roman" w:cs="Times New Roman"/>
                <w:kern w:val="0"/>
                <w:szCs w:val="24"/>
              </w:rPr>
              <w:t>(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二</w:t>
            </w:r>
            <w:r>
              <w:rPr>
                <w:rFonts w:ascii="Times New Roman" w:eastAsia="DFKaiShu-SB-Estd-BF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9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80</w:t>
            </w:r>
          </w:p>
          <w:p w:rsidR="0032279F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學</w:t>
            </w:r>
          </w:p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分</w:t>
            </w:r>
          </w:p>
        </w:tc>
      </w:tr>
      <w:tr w:rsidR="0032279F" w:rsidRPr="00B22B00" w:rsidTr="00F71EC7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20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24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</w:p>
        </w:tc>
      </w:tr>
      <w:tr w:rsidR="0032279F" w:rsidRPr="00B22B00" w:rsidTr="00F71EC7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4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rPr>
                <w:bCs/>
                <w:color w:val="000000" w:themeColor="text1"/>
              </w:rPr>
            </w:pPr>
          </w:p>
        </w:tc>
      </w:tr>
      <w:tr w:rsidR="0032279F" w:rsidRPr="00B22B00" w:rsidTr="00F71EC7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  <w:r>
              <w:rPr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20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355B55">
              <w:rPr>
                <w:bCs/>
                <w:color w:val="000000" w:themeColor="text1"/>
              </w:rPr>
              <w:t>2</w:t>
            </w:r>
            <w:r>
              <w:rPr>
                <w:rFonts w:hint="eastAsia"/>
                <w:bCs/>
                <w:color w:val="000000" w:themeColor="text1"/>
              </w:rPr>
              <w:t>7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</w:p>
        </w:tc>
      </w:tr>
      <w:tr w:rsidR="0032279F" w:rsidRPr="00B22B00" w:rsidTr="00F71EC7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7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rPr>
                <w:bCs/>
                <w:color w:val="000000" w:themeColor="text1"/>
              </w:rPr>
            </w:pPr>
          </w:p>
        </w:tc>
      </w:tr>
      <w:tr w:rsidR="0032279F" w:rsidRPr="00B22B00" w:rsidTr="00F71EC7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  <w:r>
              <w:rPr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有機生化</w:t>
            </w:r>
          </w:p>
          <w:p w:rsidR="0032279F" w:rsidRDefault="0032279F" w:rsidP="00F71EC7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無機材料</w:t>
            </w:r>
          </w:p>
          <w:p w:rsidR="0032279F" w:rsidRPr="00355B55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355B55">
              <w:rPr>
                <w:bCs/>
                <w:color w:val="000000" w:themeColor="text1"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CE2709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CE2709">
              <w:rPr>
                <w:rFonts w:hint="eastAsia"/>
                <w:bCs/>
                <w:color w:val="000000" w:themeColor="text1"/>
              </w:rPr>
              <w:t>修讀1 個專業模組</w:t>
            </w:r>
          </w:p>
          <w:p w:rsidR="0032279F" w:rsidRPr="00CE2709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CE2709">
              <w:rPr>
                <w:rFonts w:hint="eastAsia"/>
                <w:bCs/>
                <w:color w:val="000000" w:themeColor="text1"/>
              </w:rPr>
              <w:t>或</w:t>
            </w:r>
          </w:p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CE2709">
              <w:rPr>
                <w:rFonts w:hint="eastAsia"/>
                <w:bCs/>
                <w:color w:val="000000" w:themeColor="text1"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20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</w:p>
        </w:tc>
      </w:tr>
      <w:tr w:rsidR="0032279F" w:rsidRPr="00B22B00" w:rsidTr="00F71EC7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355B55">
              <w:rPr>
                <w:bCs/>
                <w:color w:val="000000" w:themeColor="text1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18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</w:tr>
      <w:tr w:rsidR="0032279F" w:rsidRPr="00B22B00" w:rsidTr="00F71EC7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奈米分析</w:t>
            </w:r>
          </w:p>
          <w:p w:rsidR="0032279F" w:rsidRDefault="0032279F" w:rsidP="00F71EC7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綠色能源</w:t>
            </w:r>
          </w:p>
          <w:p w:rsidR="0032279F" w:rsidRPr="00355B55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355B55">
              <w:rPr>
                <w:bCs/>
                <w:color w:val="000000" w:themeColor="text1"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2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</w:tr>
      <w:tr w:rsidR="0032279F" w:rsidRPr="00B22B00" w:rsidTr="00F71EC7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beforeLines="20" w:before="48" w:afterLines="20" w:after="48" w:line="32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 w:rsidRPr="00355B55">
              <w:rPr>
                <w:bCs/>
                <w:color w:val="000000" w:themeColor="text1"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Pr="00355B55" w:rsidRDefault="0032279F" w:rsidP="00F71EC7">
            <w:pPr>
              <w:spacing w:line="32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18</w:t>
            </w:r>
            <w:r w:rsidRPr="00355B55">
              <w:rPr>
                <w:bCs/>
                <w:color w:val="000000" w:themeColor="text1"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</w:p>
        </w:tc>
      </w:tr>
      <w:tr w:rsidR="0032279F" w:rsidRPr="00B22B00" w:rsidTr="00F71EC7">
        <w:trPr>
          <w:trHeight w:val="2668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3E51A8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bCs/>
                <w:color w:val="FF0000"/>
                <w:kern w:val="0"/>
              </w:rPr>
            </w:pPr>
            <w:r w:rsidRPr="003E51A8">
              <w:rPr>
                <w:bCs/>
                <w:color w:val="FF0000"/>
                <w:kern w:val="0"/>
              </w:rPr>
              <w:t>「</w:t>
            </w:r>
            <w:r>
              <w:rPr>
                <w:rFonts w:hint="eastAsia"/>
                <w:bCs/>
                <w:color w:val="FF0000"/>
                <w:kern w:val="0"/>
              </w:rPr>
              <w:t>多</w:t>
            </w:r>
            <w:r w:rsidRPr="003E51A8">
              <w:rPr>
                <w:bCs/>
                <w:color w:val="FF0000"/>
                <w:kern w:val="0"/>
              </w:rPr>
              <w:t>修」課程，包含：</w:t>
            </w:r>
          </w:p>
          <w:p w:rsidR="0032279F" w:rsidRPr="00A20378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1.</w:t>
            </w:r>
            <w:r w:rsidRPr="00A20378">
              <w:rPr>
                <w:kern w:val="0"/>
              </w:rPr>
              <w:t>通識教育課程之跨領域核心課程。</w:t>
            </w:r>
          </w:p>
          <w:p w:rsidR="0032279F" w:rsidRPr="00A20378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2.</w:t>
            </w:r>
            <w:r w:rsidRPr="00A20378">
              <w:rPr>
                <w:kern w:val="0"/>
              </w:rPr>
              <w:t>院共同課程。</w:t>
            </w:r>
          </w:p>
          <w:p w:rsidR="0032279F" w:rsidRPr="00A20378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3.</w:t>
            </w:r>
            <w:r w:rsidRPr="00A20378">
              <w:rPr>
                <w:kern w:val="0"/>
              </w:rPr>
              <w:t>系基礎模組。</w:t>
            </w:r>
          </w:p>
          <w:p w:rsidR="0032279F" w:rsidRPr="00A20378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4.</w:t>
            </w:r>
            <w:r w:rsidRPr="00A20378">
              <w:rPr>
                <w:kern w:val="0"/>
              </w:rPr>
              <w:t>系核心模組。</w:t>
            </w:r>
          </w:p>
          <w:p w:rsidR="0032279F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kern w:val="0"/>
              </w:rPr>
            </w:pPr>
            <w:r>
              <w:rPr>
                <w:rFonts w:hint="eastAsia"/>
                <w:bCs/>
                <w:kern w:val="0"/>
              </w:rPr>
              <w:t>5.</w:t>
            </w:r>
            <w:r w:rsidRPr="00A20378">
              <w:rPr>
                <w:kern w:val="0"/>
              </w:rPr>
              <w:t>系專業模組。</w:t>
            </w:r>
          </w:p>
          <w:p w:rsidR="0032279F" w:rsidRPr="00867876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color w:val="FF0000"/>
                <w:kern w:val="0"/>
              </w:rPr>
            </w:pPr>
            <w:r w:rsidRPr="00867876">
              <w:rPr>
                <w:rFonts w:hint="eastAsia"/>
                <w:color w:val="FF0000"/>
                <w:kern w:val="0"/>
              </w:rPr>
              <w:t>6.跨領域模組</w:t>
            </w:r>
          </w:p>
          <w:p w:rsidR="0032279F" w:rsidRPr="00867876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color w:val="FF0000"/>
                <w:kern w:val="0"/>
              </w:rPr>
            </w:pPr>
            <w:r w:rsidRPr="00867876">
              <w:rPr>
                <w:color w:val="FF0000"/>
                <w:kern w:val="0"/>
              </w:rPr>
              <w:t>7.</w:t>
            </w:r>
            <w:r w:rsidRPr="00867876">
              <w:rPr>
                <w:rFonts w:hint="eastAsia"/>
                <w:color w:val="FF0000"/>
                <w:kern w:val="0"/>
              </w:rPr>
              <w:t>雙主修、副修、輔系</w:t>
            </w:r>
          </w:p>
          <w:p w:rsidR="0032279F" w:rsidRPr="001A04F3" w:rsidRDefault="0032279F" w:rsidP="00F71EC7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color w:val="FF0000"/>
                <w:kern w:val="0"/>
              </w:rPr>
            </w:pPr>
            <w:r w:rsidRPr="00867876">
              <w:rPr>
                <w:color w:val="FF0000"/>
                <w:kern w:val="0"/>
              </w:rPr>
              <w:t>8.</w:t>
            </w:r>
            <w:r w:rsidRPr="00867876">
              <w:rPr>
                <w:rFonts w:hint="eastAsia"/>
                <w:color w:val="FF0000"/>
                <w:kern w:val="0"/>
              </w:rPr>
              <w:t>各類學程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20學分</w:t>
            </w:r>
          </w:p>
        </w:tc>
      </w:tr>
      <w:tr w:rsidR="0032279F" w:rsidRPr="00B22B00" w:rsidTr="00F71EC7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總      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9F" w:rsidRPr="00B22B00" w:rsidRDefault="0032279F" w:rsidP="00F71EC7">
            <w:pPr>
              <w:spacing w:line="320" w:lineRule="exact"/>
              <w:jc w:val="center"/>
              <w:rPr>
                <w:bCs/>
              </w:rPr>
            </w:pPr>
            <w:r w:rsidRPr="00B22B00">
              <w:rPr>
                <w:bCs/>
              </w:rPr>
              <w:t>128學分</w:t>
            </w:r>
          </w:p>
        </w:tc>
      </w:tr>
    </w:tbl>
    <w:p w:rsidR="00D80212" w:rsidRDefault="00106CB5">
      <w:pPr>
        <w:pStyle w:val="1"/>
        <w:spacing w:after="208"/>
        <w:ind w:left="63"/>
      </w:pPr>
      <w:bookmarkStart w:id="0" w:name="_GoBack"/>
      <w:bookmarkEnd w:id="0"/>
      <w:r>
        <w:t>三、選課須知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spacing w:after="57"/>
        <w:ind w:left="250"/>
      </w:pPr>
      <w:r>
        <w:rPr>
          <w:rFonts w:ascii="Times New Roman" w:eastAsia="Times New Roman" w:hAnsi="Times New Roman" w:cs="Times New Roman"/>
        </w:rPr>
        <w:t>(</w:t>
      </w:r>
      <w:r>
        <w:t>一</w:t>
      </w:r>
      <w:r>
        <w:rPr>
          <w:rFonts w:ascii="Times New Roman" w:eastAsia="Times New Roman" w:hAnsi="Times New Roman" w:cs="Times New Roman"/>
        </w:rPr>
        <w:t>)</w:t>
      </w:r>
      <w:r>
        <w:t xml:space="preserve">本系畢業總學分為 </w:t>
      </w:r>
      <w:r>
        <w:rPr>
          <w:rFonts w:ascii="Times New Roman" w:eastAsia="Times New Roman" w:hAnsi="Times New Roman" w:cs="Times New Roman"/>
        </w:rPr>
        <w:t xml:space="preserve">128 </w:t>
      </w:r>
      <w:r>
        <w:t xml:space="preserve">學分；學生應修習通識教育課程 </w:t>
      </w:r>
      <w:r>
        <w:rPr>
          <w:rFonts w:ascii="Times New Roman" w:eastAsia="Times New Roman" w:hAnsi="Times New Roman" w:cs="Times New Roman"/>
        </w:rPr>
        <w:t xml:space="preserve">28 </w:t>
      </w:r>
      <w:r>
        <w:t xml:space="preserve">學分、院共同課程 </w:t>
      </w:r>
      <w:r>
        <w:rPr>
          <w:rFonts w:ascii="Times New Roman" w:eastAsia="Times New Roman" w:hAnsi="Times New Roman" w:cs="Times New Roman"/>
        </w:rPr>
        <w:t xml:space="preserve">9 </w:t>
      </w:r>
      <w:r>
        <w:t>學分、基礎模組</w:t>
      </w:r>
    </w:p>
    <w:p w:rsidR="00D80212" w:rsidRDefault="00106CB5">
      <w:pPr>
        <w:spacing w:after="60"/>
        <w:ind w:left="668"/>
      </w:pPr>
      <w:r>
        <w:rPr>
          <w:rFonts w:ascii="Times New Roman" w:eastAsia="Times New Roman" w:hAnsi="Times New Roman" w:cs="Times New Roman"/>
          <w:color w:val="FF0000"/>
        </w:rPr>
        <w:t xml:space="preserve">24 </w:t>
      </w:r>
      <w:r>
        <w:t xml:space="preserve">學分、核心模組 </w:t>
      </w:r>
      <w:r>
        <w:rPr>
          <w:rFonts w:ascii="Times New Roman" w:eastAsia="Times New Roman" w:hAnsi="Times New Roman" w:cs="Times New Roman"/>
          <w:color w:val="FF0000"/>
        </w:rPr>
        <w:t xml:space="preserve">27 </w:t>
      </w:r>
      <w:r>
        <w:t xml:space="preserve">學分、專業模組 </w:t>
      </w:r>
      <w:r>
        <w:rPr>
          <w:rFonts w:ascii="Times New Roman" w:eastAsia="Times New Roman" w:hAnsi="Times New Roman" w:cs="Times New Roman"/>
        </w:rPr>
        <w:t xml:space="preserve">20 </w:t>
      </w:r>
      <w:r>
        <w:t xml:space="preserve">學分、自由選修課程 </w:t>
      </w:r>
      <w:r>
        <w:rPr>
          <w:rFonts w:ascii="Times New Roman" w:eastAsia="Times New Roman" w:hAnsi="Times New Roman" w:cs="Times New Roman"/>
        </w:rPr>
        <w:t xml:space="preserve">20 </w:t>
      </w:r>
      <w:r>
        <w:t>學分。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43"/>
        <w:ind w:left="658" w:hanging="418"/>
      </w:pPr>
      <w:r>
        <w:rPr>
          <w:rFonts w:ascii="Times New Roman" w:eastAsia="Times New Roman" w:hAnsi="Times New Roman" w:cs="Times New Roman"/>
        </w:rPr>
        <w:t>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不同模組中相同課程或等同課程，可經模組所屬單位審查同意認列，以滿足不同模組計算需求，</w:t>
      </w:r>
      <w:r>
        <w:rPr>
          <w:u w:val="single" w:color="000000"/>
        </w:rPr>
        <w:t>惟認列課程在畢業學分總計中只能計算一次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60" w:line="259" w:lineRule="auto"/>
        <w:ind w:left="24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92" w:line="259" w:lineRule="auto"/>
        <w:ind w:left="24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D80212" w:rsidRDefault="00106CB5">
      <w:pPr>
        <w:pStyle w:val="1"/>
        <w:ind w:left="63"/>
      </w:pPr>
      <w:r>
        <w:t>四、院共同課程及模組課程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844" w:type="dxa"/>
        <w:tblInd w:w="-36" w:type="dxa"/>
        <w:tblCellMar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583"/>
        <w:gridCol w:w="620"/>
        <w:gridCol w:w="2411"/>
        <w:gridCol w:w="1842"/>
        <w:gridCol w:w="427"/>
        <w:gridCol w:w="425"/>
        <w:gridCol w:w="425"/>
        <w:gridCol w:w="709"/>
        <w:gridCol w:w="2834"/>
        <w:gridCol w:w="568"/>
      </w:tblGrid>
      <w:tr w:rsidR="00D80212">
        <w:trPr>
          <w:trHeight w:val="9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類別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31" w:firstLine="0"/>
              <w:jc w:val="center"/>
            </w:pPr>
            <w:r>
              <w:t>科目中文名稱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31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必選修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33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備註</w:t>
            </w:r>
          </w:p>
        </w:tc>
      </w:tr>
      <w:tr w:rsidR="00D80212">
        <w:trPr>
          <w:trHeight w:val="51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院共同課程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17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程式設計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1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Computer Programming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微積分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1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both"/>
            </w:pPr>
            <w:r>
              <w:t>一上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Calculus (I)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微積分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1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Calculus (II)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</w:tr>
      <w:tr w:rsidR="00D80212">
        <w:trPr>
          <w:trHeight w:val="417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 xml:space="preserve">基礎模組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24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Chemistry Experiments (I)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Physics Experiments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Physics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Physics Experiments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Physics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(II)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Nanoscience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綠色科學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17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應用科學實驗演示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SAP12E10A003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Demonstration of 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Applied Science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Experiments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應用化學概論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Applied Chemistry(I)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應用化學概論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Applied Chemistry(II)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應用科學概論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SAP12E10B003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Applied 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7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 xml:space="preserve">核心模組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27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必修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(I)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SAP11E20B006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Inorganic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46" w:lineRule="auto"/>
              <w:ind w:left="0" w:firstLine="0"/>
              <w:jc w:val="center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17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lastRenderedPageBreak/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lastRenderedPageBreak/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SAP12E20B001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(II)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化學書報討論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Seminar(I)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Inorganic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D80212">
      <w:pPr>
        <w:spacing w:after="0" w:line="259" w:lineRule="auto"/>
        <w:ind w:left="-568" w:right="64" w:firstLine="0"/>
      </w:pPr>
    </w:p>
    <w:tbl>
      <w:tblPr>
        <w:tblStyle w:val="TableGrid"/>
        <w:tblW w:w="10844" w:type="dxa"/>
        <w:tblInd w:w="-36" w:type="dxa"/>
        <w:tblCellMar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84"/>
        <w:gridCol w:w="620"/>
        <w:gridCol w:w="2411"/>
        <w:gridCol w:w="1842"/>
        <w:gridCol w:w="426"/>
        <w:gridCol w:w="425"/>
        <w:gridCol w:w="425"/>
        <w:gridCol w:w="709"/>
        <w:gridCol w:w="2834"/>
        <w:gridCol w:w="568"/>
      </w:tblGrid>
      <w:tr w:rsidR="00D80212">
        <w:trPr>
          <w:trHeight w:val="500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4" w:firstLine="0"/>
              <w:jc w:val="center"/>
            </w:pPr>
            <w:r>
              <w:t xml:space="preserve">有機生化無機材料學程模組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21" w:line="259" w:lineRule="auto"/>
              <w:ind w:left="2" w:firstLine="0"/>
              <w:jc w:val="both"/>
            </w:pPr>
            <w:r>
              <w:rPr>
                <w:sz w:val="20"/>
              </w:rPr>
              <w:t>必修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80212" w:rsidRDefault="00106CB5">
            <w:pPr>
              <w:spacing w:after="96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D80212" w:rsidRDefault="00106CB5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(III)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33" w:lineRule="auto"/>
              <w:ind w:left="0" w:firstLine="0"/>
              <w:jc w:val="center"/>
            </w:pPr>
            <w:r>
              <w:t>選修</w:t>
            </w:r>
          </w:p>
          <w:p w:rsidR="00D80212" w:rsidRDefault="00106CB5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化學書報討論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SAP12E30B001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Seminar(II)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生物無機化學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Bioinorganic Chemistry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奈米生醫光電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Nano/Bio Photonics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基因體及蛋白質體學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Genomics &amp; Proteomics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普通生物學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Biology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群論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SAP12E30B011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Group Theory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醫藥化學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Medicinal Chemistry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有機光化學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Photochemistry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有機合成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Synthesis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有機光譜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Material Spectrometry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color w:val="538DD3"/>
              </w:rPr>
              <w:t>生物分子介紹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538DD3"/>
              </w:rPr>
              <w:t>SAP12E30B017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rPr>
                <w:color w:val="538DD3"/>
              </w:rP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  <w:color w:val="538DD3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  <w:color w:val="538DD3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rPr>
                <w:color w:val="538DD3"/>
              </w:rP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538DD3"/>
              </w:rPr>
              <w:t xml:space="preserve">ntroduction to Biomolecules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5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4" w:firstLine="0"/>
              <w:jc w:val="center"/>
            </w:pPr>
            <w:r>
              <w:t xml:space="preserve">奈米分析綠色能源學程模組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 </w:t>
            </w:r>
            <w:r>
              <w:lastRenderedPageBreak/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21" w:line="259" w:lineRule="auto"/>
              <w:ind w:left="2" w:firstLine="0"/>
              <w:jc w:val="both"/>
            </w:pPr>
            <w:r>
              <w:rPr>
                <w:sz w:val="20"/>
              </w:rPr>
              <w:lastRenderedPageBreak/>
              <w:t>必修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80212" w:rsidRDefault="00106CB5">
            <w:pPr>
              <w:spacing w:after="96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  <w:p w:rsidR="00D80212" w:rsidRDefault="00106CB5">
            <w:pPr>
              <w:spacing w:after="0" w:line="259" w:lineRule="auto"/>
              <w:ind w:left="2" w:firstLine="0"/>
              <w:jc w:val="both"/>
            </w:pPr>
            <w:r>
              <w:rPr>
                <w:sz w:val="20"/>
              </w:rP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(III)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化學實驗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Experiments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33" w:lineRule="auto"/>
              <w:ind w:left="0" w:firstLine="0"/>
              <w:jc w:val="center"/>
            </w:pPr>
            <w:r>
              <w:t>選修</w:t>
            </w:r>
          </w:p>
          <w:p w:rsidR="00D80212" w:rsidRDefault="00106CB5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18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奈米科學實驗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SAP12E30A001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Experiments in Nano Science </w:t>
            </w:r>
          </w:p>
        </w:tc>
        <w:tc>
          <w:tcPr>
            <w:tcW w:w="5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化學書報討論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Chemistry Seminar(II)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四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Chemistry (IV)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工業觸媒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Industry Catalyst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材料表面分析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Material Surface Analysis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奈米材料應用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Applications of  Nanomaterials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材料科學概論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Foundation of Materials Science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奈米感測器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Nanosensors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科學文獻導讀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Scientific Literature Reading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綠色分析技術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Analytical Methodologies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綠色能源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Energy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儀器分析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Instrumental Analysis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三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(III)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D80212">
      <w:pPr>
        <w:spacing w:after="0" w:line="259" w:lineRule="auto"/>
        <w:ind w:left="-568" w:right="64" w:firstLine="0"/>
      </w:pPr>
    </w:p>
    <w:tbl>
      <w:tblPr>
        <w:tblStyle w:val="TableGrid"/>
        <w:tblW w:w="10844" w:type="dxa"/>
        <w:tblInd w:w="-36" w:type="dxa"/>
        <w:tblCellMar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583"/>
        <w:gridCol w:w="620"/>
        <w:gridCol w:w="2411"/>
        <w:gridCol w:w="1842"/>
        <w:gridCol w:w="427"/>
        <w:gridCol w:w="425"/>
        <w:gridCol w:w="425"/>
        <w:gridCol w:w="709"/>
        <w:gridCol w:w="2834"/>
        <w:gridCol w:w="568"/>
      </w:tblGrid>
      <w:tr w:rsidR="00D80212">
        <w:trPr>
          <w:trHeight w:val="50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t>化學熱力學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SAP12E40B011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Chemical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Thermodynamics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106CB5">
      <w:r>
        <w:br w:type="page"/>
      </w:r>
    </w:p>
    <w:p w:rsidR="00D80212" w:rsidRDefault="00106CB5">
      <w:pPr>
        <w:spacing w:after="238" w:line="259" w:lineRule="auto"/>
        <w:ind w:left="2559"/>
      </w:pPr>
      <w:r>
        <w:rPr>
          <w:sz w:val="36"/>
        </w:rPr>
        <w:lastRenderedPageBreak/>
        <w:t>國立臺東大學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D80212" w:rsidRDefault="00106CB5">
      <w:pPr>
        <w:spacing w:after="131" w:line="259" w:lineRule="auto"/>
        <w:ind w:left="606"/>
      </w:pP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</w:t>
      </w:r>
      <w:r>
        <w:rPr>
          <w:sz w:val="36"/>
        </w:rPr>
        <w:t>應用科學系化學及奈米科學組應用化學 副修模組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D80212" w:rsidRDefault="00106CB5">
      <w:pPr>
        <w:pStyle w:val="1"/>
        <w:spacing w:after="57"/>
        <w:ind w:left="63"/>
      </w:pPr>
      <w:r>
        <w:t>一、</w:t>
      </w:r>
      <w:r>
        <w:rPr>
          <w:rFonts w:ascii="細明體" w:eastAsia="細明體" w:hAnsi="細明體" w:cs="細明體"/>
        </w:rPr>
        <w:t xml:space="preserve"> </w:t>
      </w:r>
      <w:r>
        <w:t>目標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spacing w:after="101"/>
        <w:ind w:left="490"/>
      </w:pPr>
      <w:r>
        <w:t xml:space="preserve">(一)本系專門課程旨在培養學生具備豐富科學知識、科學探究能力及人文素養。 </w:t>
      </w:r>
    </w:p>
    <w:p w:rsidR="00D80212" w:rsidRDefault="00106CB5">
      <w:pPr>
        <w:spacing w:after="187"/>
        <w:ind w:left="490"/>
      </w:pPr>
      <w:r>
        <w:t xml:space="preserve">(二)提供學生彈性學習機會，以塑造學生多元的能力，完成全人教育的目標。 </w:t>
      </w:r>
    </w:p>
    <w:p w:rsidR="00D80212" w:rsidRDefault="00106CB5">
      <w:pPr>
        <w:pStyle w:val="1"/>
        <w:spacing w:after="73"/>
        <w:ind w:left="63"/>
      </w:pPr>
      <w:r>
        <w:t>二、</w:t>
      </w:r>
      <w:r>
        <w:rPr>
          <w:rFonts w:ascii="細明體" w:eastAsia="細明體" w:hAnsi="細明體" w:cs="細明體"/>
        </w:rPr>
        <w:t xml:space="preserve"> </w:t>
      </w:r>
      <w:r>
        <w:t>選課須知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ind w:left="490"/>
      </w:pPr>
      <w:r>
        <w:t>(一)限外系學生修讀</w:t>
      </w:r>
      <w:r>
        <w:rPr>
          <w:sz w:val="28"/>
        </w:rPr>
        <w:t>。</w:t>
      </w:r>
      <w:r>
        <w:t xml:space="preserve"> </w:t>
      </w:r>
    </w:p>
    <w:p w:rsidR="00D80212" w:rsidRDefault="00106CB5">
      <w:pPr>
        <w:spacing w:after="68"/>
        <w:ind w:left="490"/>
      </w:pPr>
      <w:r>
        <w:t xml:space="preserve">(二)副修課程由模組挑選之，不另行開課。 </w:t>
      </w:r>
    </w:p>
    <w:p w:rsidR="00D80212" w:rsidRDefault="00106CB5">
      <w:pPr>
        <w:spacing w:after="256"/>
        <w:ind w:left="490"/>
      </w:pPr>
      <w:r>
        <w:t xml:space="preserve">(三)選修本系副修者，須由副修模組中任選二十一學分修習。 </w:t>
      </w:r>
    </w:p>
    <w:p w:rsidR="00D80212" w:rsidRDefault="00106CB5">
      <w:pPr>
        <w:pStyle w:val="1"/>
        <w:ind w:left="63"/>
      </w:pPr>
      <w:r>
        <w:t>三、副修模組課程</w:t>
      </w:r>
      <w:r>
        <w:rPr>
          <w:rFonts w:ascii="Calibri" w:eastAsia="Calibri" w:hAnsi="Calibri" w:cs="Calibri"/>
          <w:b/>
        </w:rPr>
        <w:t xml:space="preserve">(21 </w:t>
      </w:r>
      <w:r>
        <w:t>學分</w:t>
      </w:r>
      <w:r>
        <w:rPr>
          <w:rFonts w:ascii="Calibri" w:eastAsia="Calibri" w:hAnsi="Calibri" w:cs="Calibri"/>
          <w:b/>
        </w:rPr>
        <w:t xml:space="preserve">) </w:t>
      </w:r>
    </w:p>
    <w:tbl>
      <w:tblPr>
        <w:tblStyle w:val="TableGrid"/>
        <w:tblW w:w="10835" w:type="dxa"/>
        <w:tblInd w:w="0" w:type="dxa"/>
        <w:tblCellMar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2410"/>
        <w:gridCol w:w="1843"/>
        <w:gridCol w:w="670"/>
        <w:gridCol w:w="437"/>
        <w:gridCol w:w="458"/>
        <w:gridCol w:w="703"/>
        <w:gridCol w:w="2693"/>
        <w:gridCol w:w="487"/>
      </w:tblGrid>
      <w:tr w:rsidR="00D80212">
        <w:trPr>
          <w:trHeight w:val="9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類別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28" w:firstLine="0"/>
              <w:jc w:val="center"/>
            </w:pPr>
            <w:r>
              <w:t>科目中文名稱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25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必選修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25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備註</w:t>
            </w:r>
          </w:p>
        </w:tc>
      </w:tr>
      <w:tr w:rsidR="00D80212">
        <w:trPr>
          <w:trHeight w:val="415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 xml:space="preserve">副修模組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6" w:lineRule="auto"/>
              <w:ind w:left="0" w:firstLine="0"/>
              <w:jc w:val="center"/>
            </w:pPr>
            <w:r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工業觸媒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SAP12E40B001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ndustry Catalyst 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SAP12E20B001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Analytical Chemistry (II)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生物無機化學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Bioinorganic Chemistry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材料表面分析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Material Surface Analysis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奈米生醫光電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Nano/Bio Photonics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奈米材料應用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Applications of  Nanomaterials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Foundation of Materials Science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SAP11E10B001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nanoscience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奈米感測器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Nanosensors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副修</w:t>
            </w:r>
            <w:r>
              <w:lastRenderedPageBreak/>
              <w:t>模組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6" w:lineRule="auto"/>
              <w:ind w:left="0" w:firstLine="0"/>
              <w:jc w:val="center"/>
            </w:pPr>
            <w:r>
              <w:lastRenderedPageBreak/>
              <w:t>選修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21 </w:t>
            </w:r>
            <w:r>
              <w:t>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lastRenderedPageBreak/>
              <w:t>科學文獻導讀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Scientific Literature Reading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both"/>
            </w:pPr>
            <w:r>
              <w:t>基因體及蛋白質體學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Genomics &amp; Proteomics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SAP11E10A003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一上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D80212">
      <w:pPr>
        <w:spacing w:after="0" w:line="259" w:lineRule="auto"/>
        <w:ind w:left="-568" w:right="38" w:firstLine="0"/>
      </w:pPr>
    </w:p>
    <w:tbl>
      <w:tblPr>
        <w:tblStyle w:val="TableGrid"/>
        <w:tblW w:w="10835" w:type="dxa"/>
        <w:tblInd w:w="0" w:type="dxa"/>
        <w:tblCellMar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568"/>
        <w:gridCol w:w="566"/>
        <w:gridCol w:w="2410"/>
        <w:gridCol w:w="1843"/>
        <w:gridCol w:w="670"/>
        <w:gridCol w:w="437"/>
        <w:gridCol w:w="458"/>
        <w:gridCol w:w="703"/>
        <w:gridCol w:w="2693"/>
        <w:gridCol w:w="487"/>
      </w:tblGrid>
      <w:tr w:rsidR="00D80212">
        <w:trPr>
          <w:trHeight w:val="4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  <w:r>
              <w:t>學分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5" w:firstLine="0"/>
            </w:pPr>
            <w:r>
              <w:t>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SAP11E10A004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一下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SAP11E20B006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norganic Chemistry (I)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SAP12E20B003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norganic Chemistry (II)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群論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Group Theory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綠色分析技術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Analytical Methodologies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綠色科學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SAP11E10B002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二上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Science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綠色能源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Energy 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儀器分析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SAP12E40B009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三上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Instrumental Analysis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醫藥化學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SAP12E30B012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  <w:jc w:val="both"/>
            </w:pPr>
            <w:r>
              <w:t>四上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Medicinal Chemistry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有機光化學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0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" w:firstLine="0"/>
              <w:jc w:val="both"/>
            </w:pPr>
            <w:r>
              <w:t>三下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Photochemistry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106CB5">
      <w:r>
        <w:br w:type="page"/>
      </w:r>
    </w:p>
    <w:p w:rsidR="00D80212" w:rsidRDefault="00106CB5">
      <w:pPr>
        <w:spacing w:after="236" w:line="259" w:lineRule="auto"/>
        <w:ind w:left="10" w:right="102"/>
        <w:jc w:val="center"/>
      </w:pPr>
      <w:r>
        <w:rPr>
          <w:sz w:val="36"/>
        </w:rPr>
        <w:lastRenderedPageBreak/>
        <w:t>國立臺東大學</w:t>
      </w:r>
      <w:r>
        <w:rPr>
          <w:rFonts w:ascii="Calibri" w:eastAsia="Calibri" w:hAnsi="Calibri" w:cs="Calibri"/>
          <w:b/>
          <w:sz w:val="36"/>
        </w:rPr>
        <w:t>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D80212" w:rsidRDefault="00106CB5">
      <w:pPr>
        <w:spacing w:after="131" w:line="259" w:lineRule="auto"/>
        <w:ind w:left="10" w:right="101"/>
        <w:jc w:val="center"/>
      </w:pP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</w:t>
      </w:r>
      <w:r>
        <w:rPr>
          <w:sz w:val="36"/>
        </w:rPr>
        <w:t>應用科學系化學及奈米科學組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輔系課程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D80212" w:rsidRDefault="00106CB5">
      <w:pPr>
        <w:pStyle w:val="1"/>
        <w:spacing w:after="58"/>
        <w:ind w:left="63"/>
      </w:pPr>
      <w:r>
        <w:t>一、</w:t>
      </w:r>
      <w:r>
        <w:rPr>
          <w:rFonts w:ascii="細明體" w:eastAsia="細明體" w:hAnsi="細明體" w:cs="細明體"/>
        </w:rPr>
        <w:t xml:space="preserve"> </w:t>
      </w:r>
      <w:r>
        <w:t>目標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spacing w:after="117"/>
        <w:ind w:left="374"/>
      </w:pPr>
      <w:r>
        <w:rPr>
          <w:rFonts w:ascii="Calibri" w:eastAsia="Calibri" w:hAnsi="Calibri" w:cs="Calibri"/>
        </w:rPr>
        <w:t>(</w:t>
      </w:r>
      <w:r>
        <w:t>一</w:t>
      </w:r>
      <w:r>
        <w:rPr>
          <w:rFonts w:ascii="Calibri" w:eastAsia="Calibri" w:hAnsi="Calibri" w:cs="Calibri"/>
        </w:rPr>
        <w:t>)</w:t>
      </w:r>
      <w:r>
        <w:t>本系專門課程旨在培養學生具備豐富科學知識、科學探究能力及人文素養。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spacing w:after="381"/>
        <w:ind w:left="374"/>
      </w:pPr>
      <w:r>
        <w:rPr>
          <w:rFonts w:ascii="Calibri" w:eastAsia="Calibri" w:hAnsi="Calibri" w:cs="Calibri"/>
        </w:rPr>
        <w:t>(</w:t>
      </w:r>
      <w:r>
        <w:t>二</w:t>
      </w:r>
      <w:r>
        <w:rPr>
          <w:rFonts w:ascii="Calibri" w:eastAsia="Calibri" w:hAnsi="Calibri" w:cs="Calibri"/>
        </w:rPr>
        <w:t>)</w:t>
      </w:r>
      <w:r>
        <w:t>提供學生彈性學習機會，以塑造學生多元的能力，完成全人教育的目標。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pStyle w:val="1"/>
        <w:spacing w:after="130"/>
        <w:ind w:left="63"/>
      </w:pPr>
      <w:r>
        <w:t>二、選課須知</w:t>
      </w:r>
      <w:r>
        <w:rPr>
          <w:rFonts w:ascii="Calibri" w:eastAsia="Calibri" w:hAnsi="Calibri" w:cs="Calibri"/>
          <w:b/>
        </w:rPr>
        <w:t xml:space="preserve"> </w:t>
      </w:r>
    </w:p>
    <w:p w:rsidR="00D80212" w:rsidRDefault="00106CB5">
      <w:pPr>
        <w:ind w:left="374"/>
      </w:pPr>
      <w:r>
        <w:rPr>
          <w:rFonts w:ascii="Calibri" w:eastAsia="Calibri" w:hAnsi="Calibri" w:cs="Calibri"/>
        </w:rPr>
        <w:t>(</w:t>
      </w:r>
      <w:r>
        <w:t>一</w:t>
      </w:r>
      <w:r>
        <w:rPr>
          <w:rFonts w:ascii="Calibri" w:eastAsia="Calibri" w:hAnsi="Calibri" w:cs="Calibri"/>
        </w:rPr>
        <w:t>)</w:t>
      </w:r>
      <w:r>
        <w:t>限外系學生二年級起至最高修業年級第一學期止</w:t>
      </w:r>
      <w:r>
        <w:rPr>
          <w:rFonts w:ascii="Calibri" w:eastAsia="Calibri" w:hAnsi="Calibri" w:cs="Calibri"/>
        </w:rPr>
        <w:t>(</w:t>
      </w:r>
      <w:r>
        <w:t>不包括延長修業年限</w:t>
      </w:r>
      <w:r>
        <w:rPr>
          <w:rFonts w:ascii="Calibri" w:eastAsia="Calibri" w:hAnsi="Calibri" w:cs="Calibri"/>
        </w:rPr>
        <w:t>)</w:t>
      </w:r>
      <w:r>
        <w:t>修讀。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二</w:t>
      </w:r>
      <w:r>
        <w:rPr>
          <w:rFonts w:ascii="Calibri" w:eastAsia="Calibri" w:hAnsi="Calibri" w:cs="Calibri"/>
        </w:rPr>
        <w:t>)</w:t>
      </w:r>
      <w:r>
        <w:t>選修輔系應於本校規定日期內提出申請，並經輔系主任同意，教務長核定。已獲核准選修輔系者，不得再申請其他輔系。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三</w:t>
      </w:r>
      <w:r>
        <w:rPr>
          <w:rFonts w:ascii="Calibri" w:eastAsia="Calibri" w:hAnsi="Calibri" w:cs="Calibri"/>
        </w:rPr>
        <w:t>)</w:t>
      </w:r>
      <w:r>
        <w:t>選修輔系之課程不得與主修課程相同；輔系課程應視為學生之選修科目；如未取得輔系資格者，所修學分得併入畢業學分計算。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四</w:t>
      </w:r>
      <w:r>
        <w:rPr>
          <w:rFonts w:ascii="Calibri" w:eastAsia="Calibri" w:hAnsi="Calibri" w:cs="Calibri"/>
        </w:rPr>
        <w:t>)</w:t>
      </w:r>
      <w:r>
        <w:t>學生修習輔系課程，應繳交學分費，逾期未繳者取消其修習輔系資格。其因修習輔系而延長修業年限，修習學分在九學分以下者，應繳交學分費，在十學分以上者，應繳交全額學雜費。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五</w:t>
      </w:r>
      <w:r>
        <w:rPr>
          <w:rFonts w:ascii="Calibri" w:eastAsia="Calibri" w:hAnsi="Calibri" w:cs="Calibri"/>
        </w:rPr>
        <w:t>)</w:t>
      </w:r>
      <w: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Calibri" w:eastAsia="Calibri" w:hAnsi="Calibri" w:cs="Calibri"/>
        </w:rPr>
        <w:t>(</w:t>
      </w:r>
      <w:r>
        <w:t>六</w:t>
      </w:r>
      <w:r>
        <w:rPr>
          <w:rFonts w:ascii="Calibri" w:eastAsia="Calibri" w:hAnsi="Calibri" w:cs="Calibri"/>
        </w:rPr>
        <w:t>)</w:t>
      </w:r>
      <w: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spacing w:after="6" w:line="247" w:lineRule="auto"/>
        <w:ind w:left="770" w:right="100" w:hanging="391"/>
        <w:jc w:val="both"/>
      </w:pPr>
      <w:r>
        <w:rPr>
          <w:rFonts w:ascii="Calibri" w:eastAsia="Calibri" w:hAnsi="Calibri" w:cs="Calibri"/>
        </w:rPr>
        <w:t>(</w:t>
      </w:r>
      <w:r>
        <w:t>七</w:t>
      </w:r>
      <w:r>
        <w:rPr>
          <w:rFonts w:ascii="Calibri" w:eastAsia="Calibri" w:hAnsi="Calibri" w:cs="Calibri"/>
        </w:rPr>
        <w:t>)</w:t>
      </w:r>
      <w: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  <w:r>
        <w:rPr>
          <w:rFonts w:ascii="Calibri" w:eastAsia="Calibri" w:hAnsi="Calibri" w:cs="Calibri"/>
        </w:rPr>
        <w:t xml:space="preserve"> </w:t>
      </w:r>
    </w:p>
    <w:p w:rsidR="00D80212" w:rsidRDefault="00106CB5">
      <w:pPr>
        <w:ind w:left="755" w:hanging="391"/>
      </w:pPr>
      <w:r>
        <w:rPr>
          <w:rFonts w:ascii="細明體" w:eastAsia="細明體" w:hAnsi="細明體" w:cs="細明體"/>
        </w:rPr>
        <w:t>(</w:t>
      </w:r>
      <w:r>
        <w:t>八</w:t>
      </w:r>
      <w:r>
        <w:rPr>
          <w:rFonts w:ascii="細明體" w:eastAsia="細明體" w:hAnsi="細明體" w:cs="細明體"/>
        </w:rPr>
        <w:t>)</w:t>
      </w:r>
      <w:r>
        <w:t>凡修滿輔系規定之科目與學分成績及格者，其畢業名冊、歷年成績表及畢業證書應加註輔系名稱。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D80212" w:rsidRDefault="00106CB5">
      <w:pPr>
        <w:spacing w:after="90"/>
        <w:ind w:left="374"/>
      </w:pPr>
      <w:r>
        <w:rPr>
          <w:rFonts w:ascii="Times New Roman" w:eastAsia="Times New Roman" w:hAnsi="Times New Roman" w:cs="Times New Roman"/>
        </w:rPr>
        <w:t>(</w:t>
      </w:r>
      <w:r>
        <w:t>九</w:t>
      </w:r>
      <w:r>
        <w:rPr>
          <w:rFonts w:ascii="Times New Roman" w:eastAsia="Times New Roman" w:hAnsi="Times New Roman" w:cs="Times New Roman"/>
        </w:rPr>
        <w:t>)</w:t>
      </w:r>
      <w:r>
        <w:t xml:space="preserve">選修本系輔系者，須修必修課程 </w:t>
      </w:r>
      <w:r>
        <w:rPr>
          <w:rFonts w:ascii="Times New Roman" w:eastAsia="Times New Roman" w:hAnsi="Times New Roman" w:cs="Times New Roman"/>
        </w:rPr>
        <w:t xml:space="preserve">8 </w:t>
      </w:r>
      <w:r>
        <w:t xml:space="preserve">學分，選修課程 </w:t>
      </w:r>
      <w:r>
        <w:rPr>
          <w:rFonts w:ascii="Times New Roman" w:eastAsia="Times New Roman" w:hAnsi="Times New Roman" w:cs="Times New Roman"/>
        </w:rPr>
        <w:t xml:space="preserve">13 </w:t>
      </w:r>
      <w:r>
        <w:t>學分。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80212" w:rsidRDefault="00106CB5">
      <w:pPr>
        <w:pStyle w:val="1"/>
        <w:ind w:left="63"/>
      </w:pPr>
      <w:r>
        <w:t>三、輔系課程</w:t>
      </w:r>
      <w:r>
        <w:rPr>
          <w:rFonts w:ascii="Calibri" w:eastAsia="Calibri" w:hAnsi="Calibri" w:cs="Calibri"/>
          <w:b/>
        </w:rPr>
        <w:t>(</w:t>
      </w:r>
      <w:r>
        <w:t xml:space="preserve">至少 </w:t>
      </w:r>
      <w:r>
        <w:rPr>
          <w:rFonts w:ascii="Calibri" w:eastAsia="Calibri" w:hAnsi="Calibri" w:cs="Calibri"/>
          <w:b/>
        </w:rPr>
        <w:t xml:space="preserve">21 </w:t>
      </w:r>
      <w:r>
        <w:t>學分</w:t>
      </w:r>
      <w:r>
        <w:rPr>
          <w:rFonts w:ascii="Calibri" w:eastAsia="Calibri" w:hAnsi="Calibri" w:cs="Calibri"/>
          <w:b/>
        </w:rPr>
        <w:t xml:space="preserve">) </w:t>
      </w:r>
    </w:p>
    <w:tbl>
      <w:tblPr>
        <w:tblStyle w:val="TableGrid"/>
        <w:tblW w:w="10835" w:type="dxa"/>
        <w:tblInd w:w="-113" w:type="dxa"/>
        <w:tblCellMar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539"/>
        <w:gridCol w:w="708"/>
        <w:gridCol w:w="2410"/>
        <w:gridCol w:w="1843"/>
        <w:gridCol w:w="568"/>
        <w:gridCol w:w="426"/>
        <w:gridCol w:w="458"/>
        <w:gridCol w:w="755"/>
        <w:gridCol w:w="2612"/>
        <w:gridCol w:w="516"/>
      </w:tblGrid>
      <w:tr w:rsidR="00D80212">
        <w:trPr>
          <w:trHeight w:val="8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類別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57" w:firstLine="0"/>
              <w:jc w:val="center"/>
            </w:pPr>
            <w:r>
              <w:t>科目中文名稱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54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>必選修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right="55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center"/>
            </w:pPr>
            <w:r>
              <w:t>備註</w:t>
            </w:r>
          </w:p>
        </w:tc>
      </w:tr>
      <w:tr w:rsidR="00D80212">
        <w:trPr>
          <w:trHeight w:val="475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輔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lastRenderedPageBreak/>
              <w:t>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7" w:firstLine="0"/>
              <w:jc w:val="both"/>
            </w:pPr>
            <w:r>
              <w:lastRenderedPageBreak/>
              <w:t>必修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  <w:p w:rsidR="00D80212" w:rsidRDefault="00106CB5">
            <w:pPr>
              <w:spacing w:after="0" w:line="259" w:lineRule="auto"/>
              <w:ind w:left="7" w:firstLine="0"/>
              <w:jc w:val="both"/>
            </w:pPr>
            <w:r>
              <w:t>學分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SAP11E10A003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必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一上</w:t>
            </w:r>
          </w:p>
        </w:tc>
        <w:tc>
          <w:tcPr>
            <w:tcW w:w="26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(I) 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普通化學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9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一下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General 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綠色科學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SAP11E10B002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Science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修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lastRenderedPageBreak/>
              <w:t>工業觸媒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Industry Catalyst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Analytical Chemistry (I)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分析化學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Analytical Chemistry </w:t>
            </w:r>
          </w:p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生物無機化學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Bioinorganic Chemistry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41" w:firstLine="0"/>
              <w:jc w:val="both"/>
            </w:pPr>
            <w:r>
              <w:t>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0" w:right="2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</w:t>
            </w:r>
          </w:p>
          <w:p w:rsidR="00D80212" w:rsidRDefault="00106CB5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3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80212" w:rsidRDefault="00106CB5">
            <w:pPr>
              <w:spacing w:after="0" w:line="259" w:lineRule="auto"/>
              <w:ind w:left="127" w:firstLine="0"/>
            </w:pPr>
            <w:r>
              <w:t>分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Organic 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材料表面分析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Material Surface Analysis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奈米生醫光電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Nano/Bio Photonics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奈米材料應用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Applications of  Nanomaterials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材料科學概論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Foundation of Materials Science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奈米科學概論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SAP11E10B001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Experiments in Nano Science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奈米感測器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Nanosensors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物理化學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Physical Chemistry (II)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科學文獻導讀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Scientific Literature Reading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  <w:jc w:val="both"/>
            </w:pPr>
            <w:r>
              <w:t>基因體及蛋白質體學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Genomics &amp; Proteomics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一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</w:rPr>
              <w:t>SAP11E20B006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Inorganic Chemistry(I)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無機化學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二）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SAP12E20B003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Inorganic Chemistry (II)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群論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91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SAP12E30B011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二下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Group Theory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綠色分析技術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Analytical Methodologies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綠色能源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Green Energy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儀器分析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SAP12E40B009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Instrumental Analysis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醫藥化學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四上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Medicinal Chemistry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80212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D80212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0" w:firstLine="0"/>
            </w:pPr>
            <w:r>
              <w:t>有機光化學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2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SAP12E30B014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56" w:firstLine="0"/>
              <w:jc w:val="both"/>
            </w:pPr>
            <w:r>
              <w:t>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44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12" w:rsidRDefault="00106CB5">
            <w:pPr>
              <w:spacing w:after="0" w:line="259" w:lineRule="auto"/>
              <w:ind w:left="30" w:firstLine="0"/>
              <w:jc w:val="both"/>
            </w:pPr>
            <w:r>
              <w:t>三下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Organic Photochemistry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12" w:rsidRDefault="00106CB5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80212" w:rsidRDefault="00106CB5">
      <w:pPr>
        <w:spacing w:after="0" w:line="259" w:lineRule="auto"/>
        <w:ind w:left="10112" w:firstLine="0"/>
        <w:jc w:val="both"/>
      </w:pPr>
      <w:r>
        <w:t xml:space="preserve"> </w:t>
      </w:r>
    </w:p>
    <w:sectPr w:rsidR="00D80212">
      <w:pgSz w:w="11904" w:h="16840"/>
      <w:pgMar w:top="856" w:right="464" w:bottom="947" w:left="5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F7" w:rsidRDefault="003F42F7" w:rsidP="0032279F">
      <w:pPr>
        <w:spacing w:after="0" w:line="240" w:lineRule="auto"/>
      </w:pPr>
      <w:r>
        <w:separator/>
      </w:r>
    </w:p>
  </w:endnote>
  <w:endnote w:type="continuationSeparator" w:id="0">
    <w:p w:rsidR="003F42F7" w:rsidRDefault="003F42F7" w:rsidP="003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F7" w:rsidRDefault="003F42F7" w:rsidP="0032279F">
      <w:pPr>
        <w:spacing w:after="0" w:line="240" w:lineRule="auto"/>
      </w:pPr>
      <w:r>
        <w:separator/>
      </w:r>
    </w:p>
  </w:footnote>
  <w:footnote w:type="continuationSeparator" w:id="0">
    <w:p w:rsidR="003F42F7" w:rsidRDefault="003F42F7" w:rsidP="0032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2"/>
    <w:rsid w:val="00106CB5"/>
    <w:rsid w:val="0032279F"/>
    <w:rsid w:val="003F42F7"/>
    <w:rsid w:val="00D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9FC8C-C781-46F8-82D5-830E84E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3" w:lineRule="auto"/>
      <w:ind w:left="17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78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79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7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79F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3</cp:revision>
  <dcterms:created xsi:type="dcterms:W3CDTF">2019-08-05T05:13:00Z</dcterms:created>
  <dcterms:modified xsi:type="dcterms:W3CDTF">2020-05-04T03:56:00Z</dcterms:modified>
</cp:coreProperties>
</file>